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A73" w:rsidRPr="000D6A73" w:rsidRDefault="000D6A73" w:rsidP="000D6A73">
      <w:pPr>
        <w:rPr>
          <w:rFonts w:cs="Times New Roman"/>
          <w:szCs w:val="24"/>
        </w:rPr>
      </w:pPr>
      <w:r w:rsidRPr="000D6A73">
        <w:rPr>
          <w:rFonts w:eastAsia="Times New Roman" w:cs="Times New Roman"/>
          <w:bCs/>
          <w:color w:val="000000"/>
          <w:szCs w:val="24"/>
          <w:bdr w:val="none" w:sz="0" w:space="0" w:color="auto" w:frame="1"/>
        </w:rPr>
        <w:t>Briefly discuss Barriers and Benefits of Implementing the Inclusion Approach at Level 2 and its interconnectivity to Diversity - specifically within the workplace</w:t>
      </w:r>
    </w:p>
    <w:p w:rsidR="00F5557A" w:rsidRPr="000D6A73" w:rsidRDefault="000D6A73" w:rsidP="000D6A73">
      <w:pPr>
        <w:ind w:firstLine="720"/>
        <w:rPr>
          <w:rFonts w:cs="Times New Roman"/>
          <w:szCs w:val="24"/>
        </w:rPr>
      </w:pPr>
      <w:r w:rsidRPr="000D6A73">
        <w:rPr>
          <w:rFonts w:cs="Times New Roman"/>
          <w:szCs w:val="24"/>
        </w:rPr>
        <w:t>Barriers to implementing the inclusive approach at Level II are varied. One of the most significant obstacles of initiating along with maintaining activities that benefit the social environment of the company is the economic pressure of demonstrating profitability on a short term basis. Another barrier is the difficulty of finding the right leaders to champion an inclusive program within the organization. The benefits of an inclusive approach in level 2 are numerous. Foremost, companies get advantages in recruitment. Secondly, companies attain astronomical financial benefits. Thirdly, social programs enhance goodwill from employees as well as customers as they become collaborated. Fourthly, the reputation of companies is improved.</w:t>
      </w:r>
    </w:p>
    <w:sectPr w:rsidR="00F5557A" w:rsidRPr="000D6A73"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029B8"/>
    <w:rsid w:val="00020797"/>
    <w:rsid w:val="000D6A73"/>
    <w:rsid w:val="00132CF8"/>
    <w:rsid w:val="002D25C0"/>
    <w:rsid w:val="00357166"/>
    <w:rsid w:val="005F54EF"/>
    <w:rsid w:val="00841178"/>
    <w:rsid w:val="00D029B8"/>
    <w:rsid w:val="00E347EB"/>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3</cp:revision>
  <dcterms:created xsi:type="dcterms:W3CDTF">2020-04-11T09:13:00Z</dcterms:created>
  <dcterms:modified xsi:type="dcterms:W3CDTF">2020-04-11T11:00:00Z</dcterms:modified>
</cp:coreProperties>
</file>